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22397431">
            <wp:extent cx="576072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Default="00E61A63" w:rsidP="001035E6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="00894B84" w:rsidRPr="00397C60">
        <w:rPr>
          <w:rFonts w:ascii="Open Sans" w:hAnsi="Open Sans" w:cs="Open Sans"/>
          <w:b/>
          <w:sz w:val="26"/>
          <w:u w:val="single"/>
        </w:rPr>
        <w:br/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52EEAB04" w14:textId="09F4A0D2" w:rsidR="003B56C7" w:rsidRPr="00397C60" w:rsidRDefault="003B56C7" w:rsidP="00397C60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>Priorytet FENX.01</w:t>
      </w:r>
      <w:r w:rsidR="00F83656" w:rsidRPr="00397C60">
        <w:rPr>
          <w:rFonts w:ascii="Open Sans" w:hAnsi="Open Sans" w:cs="Open Sans"/>
          <w:b/>
          <w:bCs/>
          <w:sz w:val="26"/>
        </w:rPr>
        <w:t>.</w:t>
      </w:r>
      <w:r w:rsidRPr="00397C60">
        <w:rPr>
          <w:rFonts w:ascii="Open Sans" w:hAnsi="Open Sans" w:cs="Open Sans"/>
          <w:b/>
          <w:bCs/>
          <w:sz w:val="26"/>
        </w:rPr>
        <w:t xml:space="preserve"> Wsparcie sektorów energetyka i środowisko </w:t>
      </w:r>
      <w:r w:rsidRPr="00397C6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29239537" w14:textId="77777777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Działanie FENX.01.05.Ochrona przyrody i rozwój zielonej infrastruktury</w:t>
      </w:r>
    </w:p>
    <w:p w14:paraId="321982B8" w14:textId="77777777" w:rsidR="004922B0" w:rsidRPr="00C35224" w:rsidRDefault="004922B0" w:rsidP="004922B0">
      <w:pPr>
        <w:spacing w:line="360" w:lineRule="auto"/>
        <w:rPr>
          <w:rFonts w:ascii="Open Sans" w:hAnsi="Open Sans" w:cs="Open Sans"/>
          <w:color w:val="000000"/>
        </w:rPr>
      </w:pPr>
      <w:bookmarkStart w:id="0" w:name="_Hlk156303054"/>
      <w:r w:rsidRPr="00C35224">
        <w:rPr>
          <w:rFonts w:ascii="Open Sans" w:hAnsi="Open Sans" w:cs="Open Sans"/>
          <w:color w:val="000000"/>
        </w:rPr>
        <w:t xml:space="preserve">Typ FENX.01.05.8 </w:t>
      </w:r>
      <w:r w:rsidRPr="00C35224">
        <w:rPr>
          <w:rFonts w:ascii="Open Sans" w:hAnsi="Open Sans" w:cs="Open Sans"/>
        </w:rPr>
        <w:t>Edukacja w zakresie ochrony przyrody</w:t>
      </w:r>
      <w:r w:rsidRPr="00C35224">
        <w:rPr>
          <w:rFonts w:ascii="Open Sans" w:hAnsi="Open Sans" w:cs="Open Sans"/>
          <w:color w:val="000000"/>
        </w:rPr>
        <w:t xml:space="preserve"> </w:t>
      </w:r>
    </w:p>
    <w:p w14:paraId="096DC26B" w14:textId="632C35D1" w:rsidR="00E33F72" w:rsidRPr="00E33F72" w:rsidRDefault="00E33F72" w:rsidP="00E33F72">
      <w:pPr>
        <w:spacing w:before="240" w:after="600" w:line="276" w:lineRule="auto"/>
        <w:rPr>
          <w:rFonts w:ascii="Open Sans" w:hAnsi="Open Sans" w:cs="Open Sans"/>
        </w:rPr>
      </w:pPr>
      <w:r w:rsidRPr="00E33F72">
        <w:rPr>
          <w:rFonts w:ascii="Open Sans" w:hAnsi="Open Sans" w:cs="Open Sans"/>
        </w:rPr>
        <w:t>.</w:t>
      </w:r>
      <w:bookmarkEnd w:id="0"/>
    </w:p>
    <w:p w14:paraId="1447A9CB" w14:textId="4A6ED261" w:rsidR="003B56C7" w:rsidRPr="00B1293B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FENX.01.05-IW.01-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4922B0">
        <w:rPr>
          <w:rFonts w:ascii="Open Sans" w:hAnsi="Open Sans" w:cs="Open Sans"/>
          <w:b/>
          <w:bCs/>
          <w:u w:val="single"/>
        </w:rPr>
        <w:t>1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01EAB402" w:rsidR="003B56C7" w:rsidRPr="00B1293B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IP:</w:t>
      </w:r>
      <w:r w:rsidR="00894B84">
        <w:rPr>
          <w:rFonts w:ascii="Open Sans" w:hAnsi="Open Sans" w:cs="Open Sans"/>
          <w:bCs/>
          <w:iCs/>
        </w:rPr>
        <w:t xml:space="preserve"> </w:t>
      </w:r>
      <w:r w:rsidR="00AB3D99">
        <w:rPr>
          <w:rFonts w:ascii="Open Sans" w:hAnsi="Open Sans" w:cs="Open Sans"/>
          <w:bCs/>
          <w:iCs/>
        </w:rPr>
        <w:t>09.02.</w:t>
      </w:r>
      <w:r w:rsidR="00CE3309">
        <w:rPr>
          <w:rFonts w:ascii="Open Sans" w:hAnsi="Open Sans" w:cs="Open Sans"/>
          <w:bCs/>
          <w:iCs/>
        </w:rPr>
        <w:t>202</w:t>
      </w:r>
      <w:r w:rsidR="00E33F72">
        <w:rPr>
          <w:rFonts w:ascii="Open Sans" w:hAnsi="Open Sans" w:cs="Open Sans"/>
          <w:bCs/>
          <w:iCs/>
        </w:rPr>
        <w:t>4</w:t>
      </w:r>
      <w:r w:rsidR="00CE3309">
        <w:rPr>
          <w:rFonts w:ascii="Open Sans" w:hAnsi="Open Sans" w:cs="Open Sans"/>
          <w:bCs/>
          <w:iCs/>
        </w:rPr>
        <w:t xml:space="preserve"> r. </w:t>
      </w:r>
    </w:p>
    <w:p w14:paraId="3516FED9" w14:textId="7B713CE7" w:rsidR="009323A3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  <w:bCs/>
          <w:iCs/>
        </w:rPr>
        <w:t xml:space="preserve">Wersja nr </w:t>
      </w:r>
      <w:r w:rsidR="00894B84">
        <w:rPr>
          <w:rFonts w:ascii="Open Sans" w:hAnsi="Open Sans" w:cs="Open Sans"/>
          <w:bCs/>
          <w:iCs/>
        </w:rPr>
        <w:t>1</w:t>
      </w:r>
      <w:r w:rsidR="00894B84" w:rsidRPr="00B1293B">
        <w:rPr>
          <w:rFonts w:ascii="Open Sans" w:hAnsi="Open Sans" w:cs="Open Sans"/>
          <w:bCs/>
          <w:iCs/>
        </w:rPr>
        <w:t xml:space="preserve"> </w:t>
      </w:r>
      <w:r w:rsidRPr="00B1293B">
        <w:rPr>
          <w:rFonts w:ascii="Open Sans" w:hAnsi="Open Sans" w:cs="Open Sans"/>
          <w:bCs/>
          <w:iCs/>
        </w:rPr>
        <w:t xml:space="preserve">– data publikacji: </w:t>
      </w:r>
      <w:r w:rsidR="00AB3D99">
        <w:rPr>
          <w:rFonts w:ascii="Open Sans" w:hAnsi="Open Sans" w:cs="Open Sans"/>
          <w:bCs/>
          <w:iCs/>
        </w:rPr>
        <w:t>16.02.2024</w:t>
      </w:r>
      <w:r w:rsidR="00AB3D99">
        <w:rPr>
          <w:rFonts w:ascii="Open Sans" w:hAnsi="Open Sans" w:cs="Open Sans"/>
          <w:bCs/>
          <w:iCs/>
        </w:rPr>
        <w:t xml:space="preserve"> </w:t>
      </w:r>
      <w:r w:rsidR="00DF1E6F">
        <w:rPr>
          <w:rFonts w:ascii="Open Sans" w:hAnsi="Open Sans" w:cs="Open Sans"/>
          <w:bCs/>
          <w:iCs/>
        </w:rPr>
        <w:t xml:space="preserve">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0F88471E" w14:textId="7C812570" w:rsidR="004517A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_Toc151546319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A1D0DEE" w14:textId="775411DA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_Toc151546320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7AC60F7" w14:textId="67FA057C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_Toc151546321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4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3B10C729" w14:textId="2E8EF13B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_Toc151546322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5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0DB54B29" w14:textId="344EE6D9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5. 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_Toc151546323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7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F112082" w14:textId="5F70E9F1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_Toc151546324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8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F191968" w14:textId="424D2C82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7. Weryfikacja wniosku w ramach protestu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_Toc151546325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12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10F08021" w14:textId="29F918B7" w:rsidR="004517A5" w:rsidRDefault="00AB3D9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8. Ponowna ocena projektu po rozstrzygnięciu protestu przez IP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_Toc151546326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13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51546319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40E3167C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52B1FCDD" w:rsidR="00681879" w:rsidRPr="00E33F72" w:rsidRDefault="00D43BFE" w:rsidP="00E33F72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dokonanie</w:t>
      </w:r>
      <w:r w:rsidR="00681879" w:rsidRPr="00B1293B">
        <w:rPr>
          <w:rFonts w:ascii="Open Sans" w:hAnsi="Open Sans" w:cs="Open Sans"/>
        </w:rPr>
        <w:t xml:space="preserve"> oceny wniosków </w:t>
      </w:r>
      <w:r w:rsidRPr="00B1293B">
        <w:rPr>
          <w:rFonts w:ascii="Open Sans" w:hAnsi="Open Sans" w:cs="Open Sans"/>
        </w:rPr>
        <w:t>o dofinansowanie złożonych</w:t>
      </w:r>
      <w:r w:rsidR="00195220" w:rsidRPr="00B1293B">
        <w:rPr>
          <w:rFonts w:ascii="Open Sans" w:hAnsi="Open Sans" w:cs="Open Sans"/>
        </w:rPr>
        <w:t xml:space="preserve"> w ramach typu projektów </w:t>
      </w:r>
      <w:r w:rsidR="00E33F72" w:rsidRPr="00E33F72">
        <w:rPr>
          <w:rFonts w:ascii="Open Sans" w:hAnsi="Open Sans" w:cs="Open Sans"/>
        </w:rPr>
        <w:t>FENX.01.05.</w:t>
      </w:r>
      <w:r w:rsidR="004922B0">
        <w:rPr>
          <w:rFonts w:ascii="Open Sans" w:hAnsi="Open Sans" w:cs="Open Sans"/>
        </w:rPr>
        <w:t>8</w:t>
      </w:r>
      <w:r w:rsidR="00E33F72" w:rsidRPr="00E33F72">
        <w:rPr>
          <w:rFonts w:ascii="Open Sans" w:hAnsi="Open Sans" w:cs="Open Sans"/>
        </w:rPr>
        <w:t xml:space="preserve"> </w:t>
      </w:r>
      <w:r w:rsidR="004922B0">
        <w:rPr>
          <w:rFonts w:ascii="Open Sans" w:hAnsi="Open Sans" w:cs="Open Sans"/>
        </w:rPr>
        <w:t>Edukacja w zakresie ochrony przyrody</w:t>
      </w:r>
      <w:r w:rsidR="00171C3F" w:rsidRPr="00E33F72">
        <w:rPr>
          <w:rFonts w:ascii="Open Sans" w:hAnsi="Open Sans" w:cs="Open Sans"/>
        </w:rPr>
        <w:t xml:space="preserve">, w podziale na I </w:t>
      </w:r>
      <w:proofErr w:type="spellStart"/>
      <w:r w:rsidR="00171C3F" w:rsidRPr="00E33F72">
        <w:rPr>
          <w:rFonts w:ascii="Open Sans" w:hAnsi="Open Sans" w:cs="Open Sans"/>
        </w:rPr>
        <w:t>i</w:t>
      </w:r>
      <w:proofErr w:type="spellEnd"/>
      <w:r w:rsidR="00171C3F" w:rsidRPr="00E33F72">
        <w:rPr>
          <w:rFonts w:ascii="Open Sans" w:hAnsi="Open Sans" w:cs="Open Sans"/>
        </w:rPr>
        <w:t xml:space="preserve"> II etap, </w:t>
      </w:r>
      <w:r w:rsidR="00681879" w:rsidRPr="00E33F72">
        <w:rPr>
          <w:rFonts w:ascii="Open Sans" w:hAnsi="Open Sans" w:cs="Open Sans"/>
        </w:rPr>
        <w:t xml:space="preserve">zgodnie z kryteriami </w:t>
      </w:r>
      <w:r w:rsidR="00171C3F" w:rsidRPr="00E33F72">
        <w:rPr>
          <w:rFonts w:ascii="Open Sans" w:hAnsi="Open Sans" w:cs="Open Sans"/>
        </w:rPr>
        <w:t xml:space="preserve">horyzontalnymi oraz kryteriami specyficznymi </w:t>
      </w:r>
      <w:r w:rsidR="00681879" w:rsidRPr="00E33F72">
        <w:rPr>
          <w:rFonts w:ascii="Open Sans" w:hAnsi="Open Sans" w:cs="Open Sans"/>
        </w:rPr>
        <w:t>wyboru projektów aktualnymi w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dniu ogłoszenia </w:t>
      </w:r>
      <w:r w:rsidR="008A4CFE">
        <w:rPr>
          <w:rFonts w:ascii="Open Sans" w:hAnsi="Open Sans" w:cs="Open Sans"/>
        </w:rPr>
        <w:t xml:space="preserve">naboru wniosków </w:t>
      </w:r>
      <w:r w:rsidR="00681879" w:rsidRPr="00E33F72">
        <w:rPr>
          <w:rFonts w:ascii="Open Sans" w:hAnsi="Open Sans" w:cs="Open Sans"/>
        </w:rPr>
        <w:t>i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stanowiącymi załącznik nr </w:t>
      </w:r>
      <w:r w:rsidR="00E82FDA" w:rsidRPr="00E33F72">
        <w:rPr>
          <w:rFonts w:ascii="Open Sans" w:hAnsi="Open Sans" w:cs="Open Sans"/>
        </w:rPr>
        <w:t>3</w:t>
      </w:r>
      <w:r w:rsidR="00681879" w:rsidRPr="00E33F72">
        <w:rPr>
          <w:rFonts w:ascii="Open Sans" w:hAnsi="Open Sans" w:cs="Open Sans"/>
        </w:rPr>
        <w:t xml:space="preserve"> do Regulaminu </w:t>
      </w:r>
      <w:r w:rsidR="00894B84" w:rsidRPr="00E33F72">
        <w:rPr>
          <w:rFonts w:ascii="Open Sans" w:hAnsi="Open Sans" w:cs="Open Sans"/>
        </w:rPr>
        <w:t>wyboru projektów</w:t>
      </w:r>
      <w:r w:rsidR="00681879" w:rsidRPr="00E33F72">
        <w:rPr>
          <w:rFonts w:ascii="Open Sans" w:hAnsi="Open Sans" w:cs="Open Sans"/>
        </w:rPr>
        <w:t>;</w:t>
      </w:r>
    </w:p>
    <w:p w14:paraId="6B2062EE" w14:textId="47FF4939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projektów, których wnioski przeszły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etap oceny;</w:t>
      </w:r>
    </w:p>
    <w:p w14:paraId="237CD1E4" w14:textId="3D5114ED" w:rsidR="000F762A" w:rsidRPr="00B1293B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5478BF7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5154632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3CD107AC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8A4CFE">
        <w:rPr>
          <w:rFonts w:ascii="Open Sans" w:hAnsi="Open Sans" w:cs="Open Sans"/>
        </w:rPr>
        <w:t xml:space="preserve">naboru </w:t>
      </w:r>
      <w:r w:rsidR="00AB3D99">
        <w:rPr>
          <w:rFonts w:ascii="Open Sans" w:hAnsi="Open Sans" w:cs="Open Sans"/>
        </w:rPr>
        <w:t>wniosków</w:t>
      </w:r>
      <w:r w:rsidR="00AB7333" w:rsidRPr="00B1293B">
        <w:rPr>
          <w:rFonts w:ascii="Open Sans" w:hAnsi="Open Sans" w:cs="Open Sans"/>
        </w:rPr>
        <w:t>,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18709157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w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5154632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03DE11C3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0B46CA" w:rsidRPr="00B1293B">
        <w:rPr>
          <w:rFonts w:ascii="Open Sans" w:hAnsi="Open Sans" w:cs="Open Sans"/>
          <w:i/>
        </w:rPr>
        <w:t xml:space="preserve">Oświadczenie o bezstronności oraz </w:t>
      </w:r>
      <w:r w:rsidR="000343A1" w:rsidRPr="00B1293B">
        <w:rPr>
          <w:rFonts w:ascii="Open Sans" w:hAnsi="Open Sans" w:cs="Open Sans"/>
          <w:i/>
        </w:rPr>
        <w:t>d</w:t>
      </w:r>
      <w:r w:rsidR="000B46CA" w:rsidRPr="00B1293B">
        <w:rPr>
          <w:rFonts w:ascii="Open Sans" w:hAnsi="Open Sans" w:cs="Open Sans"/>
          <w:i/>
        </w:rPr>
        <w:t xml:space="preserve">eklarację </w:t>
      </w:r>
      <w:r w:rsidR="00853381" w:rsidRPr="00B1293B">
        <w:rPr>
          <w:rFonts w:ascii="Open Sans" w:hAnsi="Open Sans" w:cs="Open Sans"/>
          <w:i/>
        </w:rPr>
        <w:t>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ej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0B46CA" w:rsidRPr="00B1293B">
        <w:rPr>
          <w:rFonts w:ascii="Open Sans" w:hAnsi="Open Sans" w:cs="Open Sans"/>
          <w:i/>
        </w:rPr>
        <w:t xml:space="preserve">Oświadczenie o bezstronności </w:t>
      </w:r>
      <w:r w:rsidR="00680A24" w:rsidRPr="00B1293B">
        <w:rPr>
          <w:rFonts w:ascii="Open Sans" w:hAnsi="Open Sans" w:cs="Open Sans"/>
          <w:i/>
        </w:rPr>
        <w:t>oraz d</w:t>
      </w:r>
      <w:r w:rsidR="002C0091" w:rsidRPr="00B1293B">
        <w:rPr>
          <w:rFonts w:ascii="Open Sans" w:hAnsi="Open Sans" w:cs="Open Sans"/>
          <w:i/>
        </w:rPr>
        <w:t>eklarację poufności</w:t>
      </w:r>
      <w:r w:rsidR="00C640F3" w:rsidRPr="00B1293B">
        <w:rPr>
          <w:rFonts w:ascii="Open Sans" w:hAnsi="Open Sans" w:cs="Open Sans"/>
          <w:i/>
        </w:rPr>
        <w:t xml:space="preserve">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7252870D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14E5" w:rsidRPr="00B1293B">
        <w:rPr>
          <w:rFonts w:ascii="Open Sans" w:hAnsi="Open Sans" w:cs="Open Sans"/>
          <w:i/>
        </w:rPr>
        <w:t>Oświadczenie o bezstronności oraz d</w:t>
      </w:r>
      <w:r w:rsidR="00252C88" w:rsidRPr="00B1293B">
        <w:rPr>
          <w:rFonts w:ascii="Open Sans" w:hAnsi="Open Sans" w:cs="Open Sans"/>
          <w:i/>
        </w:rPr>
        <w:t>eklaracja</w:t>
      </w:r>
      <w:r w:rsidR="00A614E5" w:rsidRPr="00B1293B">
        <w:rPr>
          <w:rFonts w:ascii="Open Sans" w:hAnsi="Open Sans" w:cs="Open Sans"/>
          <w:i/>
        </w:rPr>
        <w:t xml:space="preserve"> poufności</w:t>
      </w:r>
      <w:r w:rsidR="00A614E5" w:rsidRPr="00B1293B" w:rsidDel="00A614E5">
        <w:rPr>
          <w:rFonts w:ascii="Open Sans" w:hAnsi="Open Sans" w:cs="Open Sans"/>
        </w:rPr>
        <w:t xml:space="preserve">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0BF4934D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</w:p>
    <w:p w14:paraId="60133DBA" w14:textId="41422CB3" w:rsidR="00AF0753" w:rsidRPr="00B1293B" w:rsidRDefault="00EB1C35" w:rsidP="00894B84">
      <w:pPr>
        <w:pStyle w:val="Akapitzlist"/>
        <w:numPr>
          <w:ilvl w:val="0"/>
          <w:numId w:val="41"/>
        </w:numPr>
        <w:spacing w:before="120" w:after="120" w:line="276" w:lineRule="auto"/>
        <w:ind w:left="425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i/>
        </w:rPr>
        <w:t xml:space="preserve">Oświadczenie o </w:t>
      </w:r>
      <w:r w:rsidR="00AF0753" w:rsidRPr="00B1293B">
        <w:rPr>
          <w:rFonts w:ascii="Open Sans" w:hAnsi="Open Sans" w:cs="Open Sans"/>
          <w:i/>
        </w:rPr>
        <w:t xml:space="preserve"> bezstronności </w:t>
      </w:r>
      <w:r w:rsidR="00AF0753" w:rsidRPr="00B1293B">
        <w:rPr>
          <w:rFonts w:ascii="Open Sans" w:hAnsi="Open Sans" w:cs="Open Sans"/>
        </w:rPr>
        <w:t>członka komisji oceny projektów (KOP)</w:t>
      </w:r>
      <w:r w:rsidR="00AF0753" w:rsidRPr="00B1293B">
        <w:rPr>
          <w:rFonts w:ascii="Open Sans" w:hAnsi="Open Sans" w:cs="Open Sans"/>
          <w:i/>
        </w:rPr>
        <w:t xml:space="preserve">  </w:t>
      </w:r>
      <w:r w:rsidR="00AF0753" w:rsidRPr="00B1293B">
        <w:rPr>
          <w:rFonts w:ascii="Open Sans" w:hAnsi="Open Sans" w:cs="Open Sans"/>
        </w:rPr>
        <w:t>podlega weryfikacji w</w:t>
      </w:r>
      <w:r w:rsidR="003330E1">
        <w:rPr>
          <w:rFonts w:ascii="Open Sans" w:hAnsi="Open Sans" w:cs="Open Sans"/>
        </w:rPr>
        <w:t> </w:t>
      </w:r>
      <w:r w:rsidR="00AF0753" w:rsidRPr="00B1293B">
        <w:rPr>
          <w:rFonts w:ascii="Open Sans" w:hAnsi="Open Sans" w:cs="Open Sans"/>
        </w:rPr>
        <w:t xml:space="preserve">sytuacji, gdy pojawi się sygnał lub informacja o podejrzeniu braku bezstronności członka KOP (pracownika IW) uczestniczącego w ocenie projektów oraz </w:t>
      </w:r>
      <w:r w:rsidR="004463F2" w:rsidRPr="00B1293B">
        <w:rPr>
          <w:rFonts w:ascii="Open Sans" w:hAnsi="Open Sans" w:cs="Open Sans"/>
        </w:rPr>
        <w:t>w ramach próby</w:t>
      </w:r>
      <w:r w:rsidR="00AF0753" w:rsidRPr="00B1293B">
        <w:rPr>
          <w:rFonts w:ascii="Open Sans" w:hAnsi="Open Sans" w:cs="Open Sans"/>
        </w:rPr>
        <w:t xml:space="preserve"> 10% oświadczeń złożonych w danym naborze.</w:t>
      </w:r>
    </w:p>
    <w:p w14:paraId="2F0B0B84" w14:textId="2E2C4E92" w:rsidR="00AF0753" w:rsidRPr="00B1293B" w:rsidRDefault="00AF0753" w:rsidP="00894B8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Weryfikacja deklaracji prowadzona jest przy wykorzystaniu aplikacji SKANER. Informacja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przeprowadzonej weryfikacji oświadczeń i jej wyniki są zawierane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protokole z przebiegu i wyniku oceny w danym naborze. 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5154632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B1293B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61C0A1FF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oświadczeń o bezstronności oraz deklaracji </w:t>
      </w:r>
      <w:r w:rsidR="00A143E7" w:rsidRPr="00B1293B">
        <w:rPr>
          <w:rFonts w:ascii="Open Sans" w:hAnsi="Open Sans" w:cs="Open Sans"/>
          <w:i/>
          <w:sz w:val="22"/>
          <w:szCs w:val="22"/>
        </w:rPr>
        <w:t>poufności</w:t>
      </w:r>
      <w:r w:rsidR="00A143E7" w:rsidRPr="00B1293B">
        <w:rPr>
          <w:rFonts w:ascii="Open Sans" w:hAnsi="Open Sans" w:cs="Open Sans"/>
          <w:sz w:val="22"/>
          <w:szCs w:val="22"/>
        </w:rPr>
        <w:t xml:space="preserve"> 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B1293B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738DA52D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520CAE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598B823A" w14:textId="058A9C51" w:rsidR="00CE7DEE" w:rsidRPr="00B1293B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51546323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5"/>
    </w:p>
    <w:p w14:paraId="238C6E99" w14:textId="72CB391F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550B20" w:rsidRPr="00B1293B">
        <w:rPr>
          <w:rFonts w:ascii="Open Sans" w:hAnsi="Open Sans" w:cs="Open Sans"/>
        </w:rPr>
        <w:t>35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B1293B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4A5A2A36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Przewodniczący KOP.</w:t>
      </w:r>
    </w:p>
    <w:p w14:paraId="602F8A4B" w14:textId="1C0695A1" w:rsidR="00460CD9" w:rsidRPr="00B1293B" w:rsidRDefault="00520CA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>Sekretarz</w:t>
      </w:r>
      <w:r w:rsidRPr="00B1293B">
        <w:rPr>
          <w:rFonts w:ascii="Open Sans" w:hAnsi="Open Sans" w:cs="Open Sans"/>
          <w:bCs/>
        </w:rPr>
        <w:t xml:space="preserve"> </w:t>
      </w:r>
      <w:r w:rsidR="00F039F7" w:rsidRPr="00B1293B">
        <w:rPr>
          <w:rFonts w:ascii="Open Sans" w:hAnsi="Open Sans" w:cs="Open Sans"/>
          <w:bCs/>
        </w:rPr>
        <w:t xml:space="preserve">KOP </w:t>
      </w:r>
      <w:r w:rsidR="00460CD9" w:rsidRPr="00B1293B">
        <w:rPr>
          <w:rFonts w:ascii="Open Sans" w:hAnsi="Open Sans" w:cs="Open Sans"/>
          <w:bCs/>
        </w:rPr>
        <w:t>umieszcza w</w:t>
      </w:r>
      <w:r w:rsidR="00DF64BF" w:rsidRPr="00B1293B">
        <w:rPr>
          <w:rFonts w:ascii="Open Sans" w:hAnsi="Open Sans" w:cs="Open Sans"/>
          <w:bCs/>
        </w:rPr>
        <w:t xml:space="preserve"> aplikacji</w:t>
      </w:r>
      <w:r w:rsidR="00460CD9" w:rsidRPr="00B1293B">
        <w:rPr>
          <w:rFonts w:ascii="Open Sans" w:hAnsi="Open Sans" w:cs="Open Sans"/>
          <w:bCs/>
        </w:rPr>
        <w:t xml:space="preserve"> WOD2021 (CST2021) informację o pr</w:t>
      </w:r>
      <w:r w:rsidR="00F039F7" w:rsidRPr="00B1293B">
        <w:rPr>
          <w:rFonts w:ascii="Open Sans" w:hAnsi="Open Sans" w:cs="Open Sans"/>
          <w:bCs/>
        </w:rPr>
        <w:t xml:space="preserve">zekazaniu uwag do wnioskodawcy </w:t>
      </w:r>
      <w:r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460CD9" w:rsidRPr="00B1293B">
        <w:rPr>
          <w:rFonts w:ascii="Open Sans" w:hAnsi="Open Sans" w:cs="Open Sans"/>
          <w:bCs/>
        </w:rPr>
        <w:t xml:space="preserve">wnioskodawcy przy wykorzystaniu </w:t>
      </w:r>
      <w:r w:rsidR="00336960" w:rsidRPr="00B1293B">
        <w:rPr>
          <w:rFonts w:ascii="Open Sans" w:hAnsi="Open Sans" w:cs="Open Sans"/>
          <w:bCs/>
        </w:rPr>
        <w:t>środków komunikacji elektronicznej na adres wskazany prz</w:t>
      </w:r>
      <w:r w:rsidR="0003686F" w:rsidRPr="00B1293B">
        <w:rPr>
          <w:rFonts w:ascii="Open Sans" w:hAnsi="Open Sans" w:cs="Open Sans"/>
          <w:bCs/>
        </w:rPr>
        <w:t>ez wnioskodawcę.</w:t>
      </w:r>
    </w:p>
    <w:p w14:paraId="5892F97A" w14:textId="067B5161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przypadku, gdy wnioskodawca wzywany był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0F8C038B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 xml:space="preserve">podpisuje listy sprawdzające. W przypadku rozbieżności w ocenach Członków KOP wyznacza dodatkowego Członka KOP do oceny danego kryterium. </w:t>
      </w:r>
    </w:p>
    <w:p w14:paraId="645F5777" w14:textId="5BB7D09B" w:rsidR="00503C7C" w:rsidRPr="00B1293B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Projekty, </w:t>
      </w:r>
      <w:r w:rsidR="00D03341">
        <w:rPr>
          <w:rFonts w:ascii="Open Sans" w:hAnsi="Open Sans" w:cs="Open Sans"/>
        </w:rPr>
        <w:t>które</w:t>
      </w:r>
      <w:r w:rsidRPr="00B1293B">
        <w:rPr>
          <w:rFonts w:ascii="Open Sans" w:hAnsi="Open Sans" w:cs="Open Sans"/>
        </w:rPr>
        <w:t xml:space="preserve"> przeszły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="00673D6C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</w:t>
      </w:r>
      <w:r w:rsidR="003330E1">
        <w:rPr>
          <w:rFonts w:ascii="Open Sans" w:hAnsi="Open Sans" w:cs="Open Sans"/>
        </w:rPr>
        <w:t> </w:t>
      </w:r>
      <w:r w:rsidR="00FF27FC" w:rsidRPr="00B1293B">
        <w:rPr>
          <w:rFonts w:ascii="Open Sans" w:hAnsi="Open Sans" w:cs="Open Sans"/>
        </w:rPr>
        <w:t xml:space="preserve">zatwierdzenia przez </w:t>
      </w:r>
      <w:r w:rsidR="00D03341">
        <w:rPr>
          <w:rFonts w:ascii="Open Sans" w:hAnsi="Open Sans" w:cs="Open Sans"/>
        </w:rPr>
        <w:t xml:space="preserve">Zarząd </w:t>
      </w:r>
      <w:r w:rsidR="00FF27FC" w:rsidRPr="00B1293B">
        <w:rPr>
          <w:rFonts w:ascii="Open Sans" w:hAnsi="Open Sans" w:cs="Open Sans"/>
        </w:rPr>
        <w:t>IW</w:t>
      </w:r>
      <w:r w:rsidR="00D03341">
        <w:rPr>
          <w:rFonts w:ascii="Open Sans" w:hAnsi="Open Sans" w:cs="Open Sans"/>
        </w:rPr>
        <w:t>.</w:t>
      </w:r>
    </w:p>
    <w:p w14:paraId="0BB5DF90" w14:textId="4775E6D8" w:rsidR="009F5E8D" w:rsidRPr="00B1293B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D03341">
        <w:rPr>
          <w:rFonts w:ascii="Open Sans" w:hAnsi="Open Sans" w:cs="Open Sans"/>
        </w:rPr>
        <w:t xml:space="preserve">w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oraz portalu listę projektów zakwalifikowanych do kolejnego etapu oceny</w:t>
      </w:r>
      <w:r w:rsidR="00D03341">
        <w:rPr>
          <w:rFonts w:ascii="Open Sans" w:hAnsi="Open Sans" w:cs="Open Sans"/>
        </w:rPr>
        <w:t xml:space="preserve"> oraz listę projektów ocenionych negatywnie</w:t>
      </w:r>
      <w:r w:rsidRPr="00B1293B">
        <w:rPr>
          <w:rFonts w:ascii="Open Sans" w:hAnsi="Open Sans" w:cs="Open Sans"/>
        </w:rPr>
        <w:t xml:space="preserve">. </w:t>
      </w:r>
    </w:p>
    <w:p w14:paraId="56601E17" w14:textId="61A5A985" w:rsidR="00FF2F70" w:rsidRPr="00B1293B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Członek KOP - </w:t>
      </w:r>
      <w:r w:rsidR="004302EB" w:rsidRPr="00B1293B">
        <w:rPr>
          <w:rFonts w:ascii="Open Sans" w:hAnsi="Open Sans" w:cs="Open Sans"/>
        </w:rPr>
        <w:t>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FF2F70" w:rsidRPr="00B1293B">
        <w:rPr>
          <w:rFonts w:ascii="Open Sans" w:hAnsi="Open Sans" w:cs="Open Sans"/>
        </w:rPr>
        <w:t xml:space="preserve">, w terminie </w:t>
      </w:r>
      <w:r w:rsidR="003B04F0" w:rsidRPr="00B1293B">
        <w:rPr>
          <w:rFonts w:ascii="Open Sans" w:hAnsi="Open Sans" w:cs="Open Sans"/>
        </w:rPr>
        <w:t>7</w:t>
      </w:r>
      <w:r w:rsidR="00967187" w:rsidRPr="00B1293B">
        <w:rPr>
          <w:rFonts w:ascii="Open Sans" w:hAnsi="Open Sans" w:cs="Open Sans"/>
        </w:rPr>
        <w:t xml:space="preserve"> </w:t>
      </w:r>
      <w:r w:rsidR="002D27AE" w:rsidRPr="00B1293B">
        <w:rPr>
          <w:rFonts w:ascii="Open Sans" w:hAnsi="Open Sans" w:cs="Open Sans"/>
        </w:rPr>
        <w:t>dni</w:t>
      </w:r>
      <w:r w:rsidR="00967187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 xml:space="preserve">od zakończenia </w:t>
      </w:r>
      <w:r w:rsidR="004302EB" w:rsidRPr="00B1293B">
        <w:rPr>
          <w:rFonts w:ascii="Open Sans" w:hAnsi="Open Sans" w:cs="Open Sans"/>
        </w:rPr>
        <w:t xml:space="preserve">I etapu </w:t>
      </w:r>
      <w:r w:rsidR="00FF2F70" w:rsidRPr="00B1293B">
        <w:rPr>
          <w:rFonts w:ascii="Open Sans" w:hAnsi="Open Sans" w:cs="Open Sans"/>
        </w:rPr>
        <w:t>oceny wniosku</w:t>
      </w:r>
      <w:r w:rsidR="004012F6" w:rsidRPr="00B1293B">
        <w:rPr>
          <w:rFonts w:ascii="Open Sans" w:hAnsi="Open Sans" w:cs="Open Sans"/>
        </w:rPr>
        <w:t xml:space="preserve"> tj. podpisania list sprawdzających</w:t>
      </w:r>
      <w:r w:rsidR="00634B01" w:rsidRPr="00B1293B">
        <w:rPr>
          <w:rFonts w:ascii="Open Sans" w:hAnsi="Open Sans" w:cs="Open Sans"/>
        </w:rPr>
        <w:t>,</w:t>
      </w:r>
      <w:r w:rsidR="004012F6" w:rsidRPr="00B1293B">
        <w:rPr>
          <w:rFonts w:ascii="Open Sans" w:hAnsi="Open Sans" w:cs="Open Sans"/>
        </w:rPr>
        <w:t xml:space="preserve"> o który</w:t>
      </w:r>
      <w:r w:rsidR="00E43689" w:rsidRPr="00B1293B">
        <w:rPr>
          <w:rFonts w:ascii="Open Sans" w:hAnsi="Open Sans" w:cs="Open Sans"/>
        </w:rPr>
        <w:t>ch</w:t>
      </w:r>
      <w:r w:rsidR="004012F6" w:rsidRPr="00B1293B">
        <w:rPr>
          <w:rFonts w:ascii="Open Sans" w:hAnsi="Open Sans" w:cs="Open Sans"/>
        </w:rPr>
        <w:t xml:space="preserve"> mowa w </w:t>
      </w:r>
      <w:r w:rsidR="002D27AE" w:rsidRPr="00B1293B">
        <w:rPr>
          <w:rFonts w:ascii="Open Sans" w:hAnsi="Open Sans" w:cs="Open Sans"/>
        </w:rPr>
        <w:t xml:space="preserve">§ 5 ust. </w:t>
      </w:r>
      <w:r w:rsidR="009C2172" w:rsidRPr="00B1293B">
        <w:rPr>
          <w:rFonts w:ascii="Open Sans" w:hAnsi="Open Sans" w:cs="Open Sans"/>
        </w:rPr>
        <w:t>10</w:t>
      </w:r>
      <w:r w:rsidR="004012F6" w:rsidRPr="00B1293B">
        <w:rPr>
          <w:rFonts w:ascii="Open Sans" w:hAnsi="Open Sans" w:cs="Open Sans"/>
        </w:rPr>
        <w:t>,</w:t>
      </w:r>
      <w:r w:rsidR="00FF2F70" w:rsidRPr="00B1293B">
        <w:rPr>
          <w:rFonts w:ascii="Open Sans" w:hAnsi="Open Sans" w:cs="Open Sans"/>
        </w:rPr>
        <w:t xml:space="preserve"> </w:t>
      </w:r>
      <w:r w:rsidR="00067BDD">
        <w:rPr>
          <w:rFonts w:ascii="Open Sans" w:hAnsi="Open Sans" w:cs="Open Sans"/>
        </w:rPr>
        <w:t xml:space="preserve">lecz nie wcześniej niż po zatwierdzeniu </w:t>
      </w:r>
      <w:r w:rsidR="00067BDD" w:rsidRPr="00067BDD">
        <w:rPr>
          <w:rFonts w:ascii="Open Sans" w:hAnsi="Open Sans" w:cs="Open Sans"/>
        </w:rPr>
        <w:t xml:space="preserve">przez Zarząd IW </w:t>
      </w:r>
      <w:r w:rsidR="00067BDD">
        <w:rPr>
          <w:rFonts w:ascii="Open Sans" w:hAnsi="Open Sans" w:cs="Open Sans"/>
        </w:rPr>
        <w:t xml:space="preserve">listy o której mowa </w:t>
      </w:r>
      <w:r w:rsidR="000F77C9" w:rsidRPr="000F77C9">
        <w:rPr>
          <w:rFonts w:ascii="Open Sans" w:hAnsi="Open Sans" w:cs="Open Sans"/>
        </w:rPr>
        <w:t>w § 5 ust. 1</w:t>
      </w:r>
      <w:r w:rsidR="000F77C9">
        <w:rPr>
          <w:rFonts w:ascii="Open Sans" w:hAnsi="Open Sans" w:cs="Open Sans"/>
        </w:rPr>
        <w:t xml:space="preserve">1, </w:t>
      </w:r>
      <w:r w:rsidR="00FF2F70" w:rsidRPr="00B1293B">
        <w:rPr>
          <w:rFonts w:ascii="Open Sans" w:hAnsi="Open Sans" w:cs="Open Sans"/>
        </w:rPr>
        <w:t xml:space="preserve">przygotowuje </w:t>
      </w:r>
      <w:r w:rsidR="00B73D50" w:rsidRPr="00B1293B">
        <w:rPr>
          <w:rFonts w:ascii="Open Sans" w:hAnsi="Open Sans" w:cs="Open Sans"/>
        </w:rPr>
        <w:t>pisemną informację do</w:t>
      </w:r>
      <w:r w:rsidR="00FF2F70" w:rsidRPr="00B1293B">
        <w:rPr>
          <w:rFonts w:ascii="Open Sans" w:hAnsi="Open Sans" w:cs="Open Sans"/>
        </w:rPr>
        <w:t xml:space="preserve"> wnioskodawcy o wyniku oceny</w:t>
      </w:r>
      <w:r w:rsidR="00120DCE" w:rsidRPr="00B1293B">
        <w:rPr>
          <w:rFonts w:ascii="Open Sans" w:hAnsi="Open Sans" w:cs="Open Sans"/>
        </w:rPr>
        <w:t xml:space="preserve">. </w:t>
      </w:r>
      <w:r w:rsidR="00B73D50" w:rsidRPr="00B1293B">
        <w:rPr>
          <w:rFonts w:ascii="Open Sans" w:hAnsi="Open Sans" w:cs="Open Sans"/>
        </w:rPr>
        <w:t xml:space="preserve">W przypadku, gdy projekt </w:t>
      </w:r>
      <w:r w:rsidR="00520CAE">
        <w:rPr>
          <w:rFonts w:ascii="Open Sans" w:hAnsi="Open Sans" w:cs="Open Sans"/>
        </w:rPr>
        <w:t xml:space="preserve">został </w:t>
      </w:r>
      <w:r w:rsidR="00B73D50" w:rsidRPr="00B1293B">
        <w:rPr>
          <w:rFonts w:ascii="Open Sans" w:hAnsi="Open Sans" w:cs="Open Sans"/>
        </w:rPr>
        <w:t xml:space="preserve">oceniony negatywnie wraz z wynikiem oceny przekazywane jest szczegółowe uzasadnienie oceny negatywnej oraz pouczenie o możliwości wniesienia środka odwoławczego. </w:t>
      </w:r>
      <w:r w:rsidR="00FF2F70" w:rsidRPr="00B1293B">
        <w:rPr>
          <w:rFonts w:ascii="Open Sans" w:hAnsi="Open Sans" w:cs="Open Sans"/>
        </w:rPr>
        <w:t xml:space="preserve">Pismo </w:t>
      </w:r>
      <w:r w:rsidR="009066ED" w:rsidRPr="00B1293B">
        <w:rPr>
          <w:rFonts w:ascii="Open Sans" w:hAnsi="Open Sans" w:cs="Open Sans"/>
        </w:rPr>
        <w:t xml:space="preserve">do wnioskodawcy </w:t>
      </w:r>
      <w:r w:rsidR="00FF2F70" w:rsidRPr="00B1293B">
        <w:rPr>
          <w:rFonts w:ascii="Open Sans" w:hAnsi="Open Sans" w:cs="Open Sans"/>
        </w:rPr>
        <w:t>podpisuje Przewodniczący KOP.</w:t>
      </w:r>
    </w:p>
    <w:p w14:paraId="5C8AEA21" w14:textId="01DF53B8" w:rsidR="007804D9" w:rsidRPr="00B1293B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51546324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6. </w:t>
      </w:r>
      <w:r w:rsidR="00437D9C" w:rsidRPr="00B1293B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6"/>
    </w:p>
    <w:p w14:paraId="6370A5FC" w14:textId="4133AEB4" w:rsidR="002F56F4" w:rsidRPr="00B1293B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651F8E" w:rsidRPr="00B1293B">
        <w:rPr>
          <w:rFonts w:ascii="Open Sans" w:hAnsi="Open Sans" w:cs="Open Sans"/>
        </w:rPr>
        <w:t>każdym obszarze oceny,</w:t>
      </w:r>
      <w:r w:rsidR="00842DAA" w:rsidRPr="00B1293B">
        <w:rPr>
          <w:rFonts w:ascii="Open Sans" w:hAnsi="Open Sans" w:cs="Open Sans"/>
        </w:rPr>
        <w:t xml:space="preserve"> wskazanych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443780CF" w:rsidR="00437D9C" w:rsidRPr="00B1293B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437D9C" w:rsidRPr="00B1293B">
        <w:rPr>
          <w:rFonts w:ascii="Open Sans" w:hAnsi="Open Sans" w:cs="Open Sans"/>
        </w:rPr>
        <w:t xml:space="preserve">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62BA819D" w:rsidR="0091385B" w:rsidRPr="00B1293B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3F517B" w:rsidRPr="00B1293B">
        <w:rPr>
          <w:rFonts w:ascii="Open Sans" w:hAnsi="Open Sans" w:cs="Open Sans"/>
        </w:rPr>
        <w:t>ej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0D1F8BA7" w:rsidR="0053301A" w:rsidRPr="00B1293B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C43A66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C43A66" w:rsidRPr="00B1293B">
        <w:rPr>
          <w:rFonts w:ascii="Open Sans" w:hAnsi="Open Sans" w:cs="Open Sans"/>
        </w:rPr>
        <w:t xml:space="preserve">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16A8C365" w:rsidR="00AC67F5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550B20" w:rsidRPr="00B1293B">
        <w:rPr>
          <w:rFonts w:ascii="Open Sans" w:hAnsi="Open Sans" w:cs="Open Sans"/>
        </w:rPr>
        <w:t>85</w:t>
      </w:r>
      <w:r w:rsidR="00C43A66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4202E904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we wskazanym zakresie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F0222D">
        <w:rPr>
          <w:rFonts w:ascii="Open Sans" w:hAnsi="Open Sans" w:cs="Open Sans"/>
          <w:bCs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 xml:space="preserve">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AB70A9" w:rsidRPr="00B1293B">
        <w:rPr>
          <w:rFonts w:ascii="Open Sans" w:hAnsi="Open Sans" w:cs="Open Sans"/>
        </w:rPr>
        <w:t>.</w:t>
      </w:r>
    </w:p>
    <w:p w14:paraId="06CF32BF" w14:textId="6D7CE63A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podpisuje pismo wzywające wnioskodawcę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Regulaminem wyboru projektów. </w:t>
      </w:r>
    </w:p>
    <w:p w14:paraId="4F71F7BF" w14:textId="212A7005" w:rsidR="00AB70A9" w:rsidRPr="00B1293B" w:rsidRDefault="00520CA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 xml:space="preserve">Sekretarz KOP </w:t>
      </w:r>
      <w:r w:rsidR="009025B1">
        <w:rPr>
          <w:rFonts w:ascii="Open Sans" w:hAnsi="Open Sans" w:cs="Open Sans"/>
          <w:bCs/>
        </w:rPr>
        <w:t>umieszcza</w:t>
      </w:r>
      <w:r>
        <w:rPr>
          <w:rFonts w:ascii="Open Sans" w:hAnsi="Open Sans" w:cs="Open Sans"/>
          <w:bCs/>
        </w:rPr>
        <w:t xml:space="preserve"> w aplikacji WOD2021 (CST2021) informacje o przekazaniu uwag do wnioskodawcy</w:t>
      </w:r>
      <w:r w:rsidR="009025B1">
        <w:rPr>
          <w:rFonts w:ascii="Open Sans" w:hAnsi="Open Sans" w:cs="Open Sans"/>
          <w:bCs/>
        </w:rPr>
        <w:t xml:space="preserve"> jednocześnie </w:t>
      </w:r>
      <w:r w:rsidR="00AB70A9" w:rsidRPr="00B1293B">
        <w:rPr>
          <w:rFonts w:ascii="Open Sans" w:hAnsi="Open Sans" w:cs="Open Sans"/>
          <w:bCs/>
        </w:rPr>
        <w:t xml:space="preserve">Członek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AB70A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AB70A9" w:rsidRPr="00B1293B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37C8C8FC" w:rsidR="006A3328" w:rsidRPr="00B1293B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wzywany był</w:t>
      </w:r>
      <w:r w:rsidR="00591607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3FAF5D6C" w:rsidR="0048333C" w:rsidRPr="00B1293B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koordynatora oceny wniosku.  </w:t>
      </w:r>
    </w:p>
    <w:p w14:paraId="1AA0EE46" w14:textId="2DB69486" w:rsidR="00C721F1" w:rsidRPr="00B1293B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za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pośrednictwem </w:t>
      </w:r>
      <w:r w:rsidR="007C3085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</w:t>
      </w:r>
      <w:r w:rsidR="003330E1">
        <w:rPr>
          <w:rFonts w:ascii="Open Sans" w:hAnsi="Open Sans" w:cs="Open Sans"/>
        </w:rPr>
        <w:t> </w:t>
      </w:r>
      <w:r w:rsidR="007C3085" w:rsidRPr="00B1293B">
        <w:rPr>
          <w:rFonts w:ascii="Open Sans" w:hAnsi="Open Sans" w:cs="Open Sans"/>
        </w:rPr>
        <w:t>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E70554" w:rsidRPr="00B1293B">
        <w:rPr>
          <w:rFonts w:ascii="Open Sans" w:hAnsi="Open Sans" w:cs="Open Sans"/>
        </w:rPr>
        <w:t xml:space="preserve">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17899C09" w:rsidR="007C3085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umieszcza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B1293B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 zmienia status wniosku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B1293B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67EE1CB5" w:rsidR="005E1430" w:rsidRPr="00B1293B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B1293B">
        <w:rPr>
          <w:rFonts w:ascii="Open Sans" w:hAnsi="Open Sans" w:cs="Open Sans"/>
        </w:rPr>
        <w:t>5</w:t>
      </w:r>
      <w:r w:rsidR="00D853AA" w:rsidRPr="00B1293B">
        <w:rPr>
          <w:rFonts w:ascii="Open Sans" w:hAnsi="Open Sans" w:cs="Open Sans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 ocenę pozytywną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432540BB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konkursie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03A87F71" w:rsidR="007624D4" w:rsidRPr="00B1293B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5A74ECEC" w:rsidR="00B66EFA" w:rsidRPr="00B1293B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9025B1">
        <w:rPr>
          <w:rFonts w:ascii="Open Sans" w:hAnsi="Open Sans" w:cs="Open Sans"/>
        </w:rPr>
        <w:t>naboru</w:t>
      </w:r>
      <w:r w:rsidR="009025B1" w:rsidRPr="00B1293B">
        <w:rPr>
          <w:rFonts w:ascii="Open Sans" w:hAnsi="Open Sans" w:cs="Open Sans"/>
        </w:rPr>
        <w:t xml:space="preserve"> </w:t>
      </w:r>
      <w:r w:rsidR="00B90AA5" w:rsidRPr="00B1293B">
        <w:rPr>
          <w:rFonts w:ascii="Open Sans" w:hAnsi="Open Sans" w:cs="Open Sans"/>
        </w:rPr>
        <w:t>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9025B1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9025B1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60FD4F07" w:rsidR="0051080F" w:rsidRPr="00B1293B" w:rsidRDefault="0051080F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</w:t>
      </w:r>
      <w:r w:rsidR="006B71A9" w:rsidRPr="00B1293B">
        <w:rPr>
          <w:rFonts w:ascii="Open Sans" w:hAnsi="Open Sans" w:cs="Open Sans"/>
        </w:rPr>
        <w:t>7</w:t>
      </w:r>
      <w:r w:rsidRPr="00B1293B">
        <w:rPr>
          <w:rFonts w:ascii="Open Sans" w:hAnsi="Open Sans" w:cs="Open Sans"/>
        </w:rPr>
        <w:t xml:space="preserve"> dni od zatwierdzenia listy </w:t>
      </w:r>
      <w:r w:rsidR="00C80091" w:rsidRPr="00B1293B">
        <w:rPr>
          <w:rFonts w:ascii="Open Sans" w:hAnsi="Open Sans" w:cs="Open Sans"/>
        </w:rPr>
        <w:t xml:space="preserve">projektów wybranych do dofinansowania </w:t>
      </w:r>
      <w:r w:rsidRPr="00B1293B">
        <w:rPr>
          <w:rFonts w:ascii="Open Sans" w:hAnsi="Open Sans" w:cs="Open Sans"/>
        </w:rPr>
        <w:t xml:space="preserve"> wnioskodawcy są informowani </w:t>
      </w:r>
      <w:r w:rsidR="00363968" w:rsidRPr="00B1293B">
        <w:rPr>
          <w:rFonts w:ascii="Open Sans" w:hAnsi="Open Sans" w:cs="Open Sans"/>
        </w:rPr>
        <w:t xml:space="preserve">pisemnie </w:t>
      </w:r>
      <w:r w:rsidRPr="00B1293B">
        <w:rPr>
          <w:rFonts w:ascii="Open Sans" w:hAnsi="Open Sans" w:cs="Open Sans"/>
        </w:rPr>
        <w:t>o spełnieniu wszystkich kryteriów i wyborze projektu do dofinansowania</w:t>
      </w:r>
      <w:r w:rsidR="00E77B1A" w:rsidRPr="00B1293B">
        <w:rPr>
          <w:rFonts w:ascii="Open Sans" w:hAnsi="Open Sans" w:cs="Open Sans"/>
        </w:rPr>
        <w:t xml:space="preserve"> oraz</w:t>
      </w:r>
      <w:r w:rsidR="00E77B1A" w:rsidRPr="00B1293B">
        <w:rPr>
          <w:rFonts w:ascii="Open Sans" w:hAnsi="Open Sans" w:cs="Open Sans"/>
          <w:i/>
        </w:rPr>
        <w:t xml:space="preserve"> </w:t>
      </w:r>
      <w:r w:rsidR="00E77B1A" w:rsidRPr="00B1293B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>dodanie w SL2021(CST2021) osoby uprawnionej zarządzającej projektem po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 xml:space="preserve">stronie beneficjenta. </w:t>
      </w:r>
      <w:r w:rsidR="009025B1">
        <w:rPr>
          <w:rFonts w:ascii="Open Sans" w:hAnsi="Open Sans" w:cs="Open Sans"/>
        </w:rPr>
        <w:t xml:space="preserve"> </w:t>
      </w:r>
      <w:r w:rsidR="009025B1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B1293B">
        <w:rPr>
          <w:rFonts w:ascii="Open Sans" w:hAnsi="Open Sans" w:cs="Open Sans"/>
        </w:rPr>
        <w:t>Pismo przygotowuje 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E77B1A" w:rsidRPr="00B1293B">
        <w:rPr>
          <w:rFonts w:ascii="Open Sans" w:hAnsi="Open Sans" w:cs="Open Sans"/>
        </w:rPr>
        <w:t xml:space="preserve">, podpisuje </w:t>
      </w:r>
      <w:r w:rsidR="00964873" w:rsidRPr="00B1293B">
        <w:rPr>
          <w:rFonts w:ascii="Open Sans" w:hAnsi="Open Sans" w:cs="Open Sans"/>
        </w:rPr>
        <w:t>Przewodniczący KOP</w:t>
      </w:r>
      <w:r w:rsidRPr="00B1293B">
        <w:rPr>
          <w:rFonts w:ascii="Open Sans" w:hAnsi="Open Sans" w:cs="Open Sans"/>
        </w:rPr>
        <w:t xml:space="preserve">.  </w:t>
      </w:r>
    </w:p>
    <w:p w14:paraId="7C986162" w14:textId="721B3D32" w:rsidR="0003686F" w:rsidRPr="00763EE6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- k</w:t>
      </w:r>
      <w:r w:rsidR="006D1E09" w:rsidRPr="00B1293B">
        <w:rPr>
          <w:rFonts w:ascii="Open Sans" w:hAnsi="Open Sans" w:cs="Open Sans"/>
        </w:rPr>
        <w:t>oordynator oceny</w:t>
      </w:r>
      <w:r w:rsidR="000C76A1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0C76A1" w:rsidRPr="00B1293B">
        <w:rPr>
          <w:rFonts w:ascii="Open Sans" w:hAnsi="Open Sans" w:cs="Open Sans"/>
        </w:rPr>
        <w:t xml:space="preserve">po zatwierdzeniu listy </w:t>
      </w:r>
      <w:r w:rsidR="00C80091" w:rsidRPr="00B1293B">
        <w:rPr>
          <w:rFonts w:ascii="Open Sans" w:hAnsi="Open Sans" w:cs="Open Sans"/>
        </w:rPr>
        <w:t>projektów wybranych do</w:t>
      </w:r>
      <w:r w:rsidR="003330E1">
        <w:rPr>
          <w:rFonts w:ascii="Open Sans" w:hAnsi="Open Sans" w:cs="Open Sans"/>
        </w:rPr>
        <w:t> </w:t>
      </w:r>
      <w:r w:rsidR="005B163B" w:rsidRPr="00B1293B">
        <w:rPr>
          <w:rFonts w:ascii="Open Sans" w:hAnsi="Open Sans" w:cs="Open Sans"/>
        </w:rPr>
        <w:t xml:space="preserve">dofinansowania </w:t>
      </w:r>
      <w:r w:rsidR="000C76A1" w:rsidRPr="00B1293B">
        <w:rPr>
          <w:rFonts w:ascii="Open Sans" w:hAnsi="Open Sans" w:cs="Open Sans"/>
        </w:rPr>
        <w:t xml:space="preserve">, w ciągu 7 dni </w:t>
      </w:r>
      <w:r w:rsidR="006D1E09" w:rsidRPr="00B1293B">
        <w:rPr>
          <w:rFonts w:ascii="Open Sans" w:hAnsi="Open Sans" w:cs="Open Sans"/>
        </w:rPr>
        <w:t xml:space="preserve">rejestruje w </w:t>
      </w:r>
      <w:r w:rsidR="00C80091" w:rsidRPr="00B1293B">
        <w:rPr>
          <w:rFonts w:ascii="Open Sans" w:hAnsi="Open Sans" w:cs="Open Sans"/>
        </w:rPr>
        <w:t xml:space="preserve">aplikacji </w:t>
      </w:r>
      <w:r w:rsidR="006D1E09" w:rsidRPr="00B1293B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B1293B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43113978"/>
      <w:bookmarkStart w:id="8" w:name="_Toc151546325"/>
      <w:r w:rsidRPr="00B1293B">
        <w:rPr>
          <w:rFonts w:ascii="Open Sans" w:hAnsi="Open Sans" w:cs="Open Sans"/>
          <w:b/>
          <w:color w:val="auto"/>
          <w:sz w:val="22"/>
          <w:szCs w:val="22"/>
        </w:rPr>
        <w:t>§ 7. Weryfikacja wniosku w ramach protestu</w:t>
      </w:r>
      <w:bookmarkEnd w:id="7"/>
    </w:p>
    <w:bookmarkEnd w:id="8"/>
    <w:p w14:paraId="73759AEE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przeprowadza weryfikację dokonanej oceny projektu w zakresie kryteriów, których dotyczy protest - oraz zarzutów o charakterze proceduralnym, o których mowa w art. 64 ust. 2 pkt 4 i 5 ustawy wdrożeniowej.</w:t>
      </w:r>
    </w:p>
    <w:p w14:paraId="5F890524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</w:p>
    <w:p w14:paraId="269716F6" w14:textId="73019F7A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9" w:name="_Hlk147998014"/>
      <w:r w:rsidRPr="004517A5">
        <w:rPr>
          <w:rFonts w:ascii="Open Sans" w:hAnsi="Open Sans" w:cs="Open Sans"/>
        </w:rPr>
        <w:t xml:space="preserve">Członek KOP </w:t>
      </w:r>
      <w:bookmarkEnd w:id="9"/>
      <w:r w:rsidRPr="004517A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68D69F10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 , niezwłocznie informuje o tym wnioskodawcę.</w:t>
      </w:r>
    </w:p>
    <w:p w14:paraId="7446963F" w14:textId="69EC08C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5 do Regulaminu KOP. </w:t>
      </w:r>
      <w:r w:rsidRPr="004517A5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26AED58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od dnia wpłynięcia protestu spełniającego wymogi formalne z zastrzeżeniem, że nie może to doprowadzić do przekroczenia terminu, o którym mowa w § 15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4517A5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0" w:name="_Toc141363710"/>
      <w:bookmarkStart w:id="11" w:name="_Toc148443429"/>
      <w:bookmarkStart w:id="12" w:name="_Toc151546326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8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10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1"/>
      <w:bookmarkEnd w:id="12"/>
    </w:p>
    <w:p w14:paraId="5B038E7A" w14:textId="4C149364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projektu.</w:t>
      </w:r>
    </w:p>
    <w:p w14:paraId="327DD4B5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 o jej wyniku i:</w:t>
      </w:r>
    </w:p>
    <w:p w14:paraId="440D2251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odpowiednio kieruje projekt do właściwego etapu oceny albo w zależności od dostępności alokacji 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135DF343" w:rsidR="00EC111B" w:rsidRPr="00B1293B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 – Oświadczenie o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 </w:t>
      </w:r>
      <w:r w:rsidR="00257151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oraz deklaracja poufności 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>Członka KOP</w:t>
      </w:r>
      <w:r w:rsidR="00B85F3E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B1293B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 xml:space="preserve">5 </w:t>
      </w:r>
      <w:r w:rsidR="001A36AA" w:rsidRPr="00B1293B">
        <w:rPr>
          <w:rFonts w:ascii="Open Sans" w:hAnsi="Open Sans" w:cs="Open Sans"/>
        </w:rPr>
        <w:t xml:space="preserve"> </w:t>
      </w:r>
      <w:r w:rsidR="005B1938" w:rsidRPr="00B1293B">
        <w:rPr>
          <w:rFonts w:ascii="Open Sans" w:hAnsi="Open Sans" w:cs="Open Sans"/>
        </w:rPr>
        <w:t>–</w:t>
      </w:r>
      <w:r w:rsidRPr="00B1293B">
        <w:rPr>
          <w:rFonts w:ascii="Open Sans" w:hAnsi="Open Sans" w:cs="Open Sans"/>
        </w:rPr>
        <w:t xml:space="preserve"> </w:t>
      </w:r>
      <w:r w:rsidR="00853381" w:rsidRPr="00B1293B">
        <w:rPr>
          <w:rFonts w:ascii="Open Sans" w:hAnsi="Open Sans" w:cs="Open Sans"/>
        </w:rPr>
        <w:t>W</w:t>
      </w:r>
      <w:r w:rsidR="00F94A36" w:rsidRPr="00B1293B">
        <w:rPr>
          <w:rFonts w:ascii="Open Sans" w:hAnsi="Open Sans" w:cs="Open Sans"/>
        </w:rPr>
        <w:t>zór opinii po weryfikacji dokonanej oceny</w:t>
      </w:r>
    </w:p>
    <w:sectPr w:rsidR="0003686F" w:rsidRPr="00B1293B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proofErr w:type="spellStart"/>
      <w:r>
        <w:rPr>
          <w:rFonts w:asciiTheme="majorHAnsi" w:hAnsiTheme="majorHAnsi"/>
          <w:sz w:val="18"/>
          <w:szCs w:val="18"/>
        </w:rPr>
        <w:t>FEnIKS</w:t>
      </w:r>
      <w:proofErr w:type="spellEnd"/>
      <w:r>
        <w:rPr>
          <w:rFonts w:asciiTheme="majorHAnsi" w:hAnsiTheme="maj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22B0"/>
    <w:rsid w:val="004932A8"/>
    <w:rsid w:val="004A4F24"/>
    <w:rsid w:val="004A79A8"/>
    <w:rsid w:val="004C07DB"/>
    <w:rsid w:val="004C0DBD"/>
    <w:rsid w:val="004C336F"/>
    <w:rsid w:val="004C4402"/>
    <w:rsid w:val="004D1908"/>
    <w:rsid w:val="004D2095"/>
    <w:rsid w:val="004D3A88"/>
    <w:rsid w:val="004D7E27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CAE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7F6E"/>
    <w:rsid w:val="00690136"/>
    <w:rsid w:val="0069494A"/>
    <w:rsid w:val="00695AC1"/>
    <w:rsid w:val="006973B1"/>
    <w:rsid w:val="006976AB"/>
    <w:rsid w:val="006A3328"/>
    <w:rsid w:val="006A3552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A3C"/>
    <w:rsid w:val="0084750B"/>
    <w:rsid w:val="008516CC"/>
    <w:rsid w:val="00853381"/>
    <w:rsid w:val="008535E7"/>
    <w:rsid w:val="00854563"/>
    <w:rsid w:val="008548D7"/>
    <w:rsid w:val="00860966"/>
    <w:rsid w:val="00867A05"/>
    <w:rsid w:val="0087277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25B1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7E7C"/>
    <w:rsid w:val="00A308F6"/>
    <w:rsid w:val="00A463DE"/>
    <w:rsid w:val="00A52F09"/>
    <w:rsid w:val="00A53F09"/>
    <w:rsid w:val="00A5428F"/>
    <w:rsid w:val="00A614E5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3853</Words>
  <Characters>23123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Zając Ewelina</cp:lastModifiedBy>
  <cp:revision>9</cp:revision>
  <cp:lastPrinted>2015-10-27T18:10:00Z</cp:lastPrinted>
  <dcterms:created xsi:type="dcterms:W3CDTF">2023-12-08T12:23:00Z</dcterms:created>
  <dcterms:modified xsi:type="dcterms:W3CDTF">2024-02-11T17:23:00Z</dcterms:modified>
</cp:coreProperties>
</file>